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896"/>
        <w:gridCol w:w="208"/>
        <w:gridCol w:w="1078"/>
        <w:gridCol w:w="142"/>
        <w:gridCol w:w="937"/>
        <w:gridCol w:w="260"/>
        <w:gridCol w:w="1612"/>
        <w:gridCol w:w="368"/>
        <w:gridCol w:w="626"/>
        <w:gridCol w:w="1814"/>
        <w:gridCol w:w="1443"/>
        <w:gridCol w:w="428"/>
      </w:tblGrid>
      <w:tr w:rsidR="000809C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</w:t>
            </w:r>
          </w:p>
        </w:tc>
        <w:tc>
          <w:tcPr>
            <w:tcW w:w="4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683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sz w:val="32"/>
              </w:rPr>
              <w:t>學前教育署委辦</w:t>
            </w:r>
            <w:bookmarkStart w:id="0" w:name="_GoBack"/>
            <w:proofErr w:type="gramEnd"/>
            <w:r>
              <w:rPr>
                <w:rFonts w:eastAsia="標楷體"/>
                <w:sz w:val="32"/>
              </w:rPr>
              <w:t>計畫項目經費表</w:t>
            </w:r>
            <w:bookmarkEnd w:id="0"/>
          </w:p>
        </w:tc>
        <w:tc>
          <w:tcPr>
            <w:tcW w:w="1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10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  <w:tc>
          <w:tcPr>
            <w:tcW w:w="11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</w:t>
            </w:r>
          </w:p>
        </w:tc>
        <w:tc>
          <w:tcPr>
            <w:tcW w:w="4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-120600</wp:posOffset>
                      </wp:positionH>
                      <wp:positionV relativeFrom="paragraph">
                        <wp:posOffset>-600840</wp:posOffset>
                      </wp:positionV>
                      <wp:extent cx="914400" cy="343080"/>
                      <wp:effectExtent l="0" t="0" r="19050" b="1887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809CB" w:rsidRDefault="0035096C">
                                  <w:pPr>
                                    <w:pStyle w:val="Framecontents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附件一之三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margin-left:-9.5pt;margin-top:-47.3pt;width:1in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" strokeweight=".06pt">
                      <v:textbox>
                        <w:txbxContent>
                          <w:p w:rsidR="000809CB" w:rsidRDefault="0035096C">
                            <w:pPr>
                              <w:pStyle w:val="Framecontents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附件一之三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eastAsia="標楷體"/>
              </w:rPr>
              <w:t>XXXX</w:t>
            </w: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ind w:left="-26" w:firstLine="26"/>
              <w:rPr>
                <w:rFonts w:eastAsia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  <w:jc w:val="center"/>
        </w:trPr>
        <w:tc>
          <w:tcPr>
            <w:tcW w:w="1034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ind w:left="-26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辦理方式：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行政委託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行政指示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行政協助</w:t>
            </w: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34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ind w:left="-26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計畫期程：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34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89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5096C"/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單價（元）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人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5096C"/>
        </w:tc>
        <w:tc>
          <w:tcPr>
            <w:tcW w:w="8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0809CB" w:rsidRDefault="0035096C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467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業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務</w:t>
            </w:r>
            <w:proofErr w:type="gramEnd"/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5096C"/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雜支</w:t>
            </w:r>
          </w:p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5096C"/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0809CB" w:rsidRDefault="0035096C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1511"/>
          <w:jc w:val="center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政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管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理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投</w:t>
            </w:r>
          </w:p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988"/>
          <w:jc w:val="center"/>
        </w:trPr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5096C"/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0809CB" w:rsidRDefault="0035096C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  <w:jc w:val="center"/>
        </w:trPr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35096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hd w:val="clear" w:color="auto" w:fill="D8D8D8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0809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809CB">
        <w:tblPrEx>
          <w:tblCellMar>
            <w:top w:w="0" w:type="dxa"/>
            <w:bottom w:w="0" w:type="dxa"/>
          </w:tblCellMar>
        </w:tblPrEx>
        <w:trPr>
          <w:cantSplit/>
          <w:trHeight w:val="5387"/>
          <w:jc w:val="center"/>
        </w:trPr>
        <w:tc>
          <w:tcPr>
            <w:tcW w:w="6663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0809CB" w:rsidRDefault="0035096C">
            <w:pPr>
              <w:pStyle w:val="Standard"/>
              <w:numPr>
                <w:ilvl w:val="0"/>
                <w:numId w:val="5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行政管理費按業務費之金額級距，</w:t>
            </w:r>
            <w:proofErr w:type="gramStart"/>
            <w:r>
              <w:rPr>
                <w:rFonts w:ascii="標楷體" w:eastAsia="標楷體" w:hAnsi="標楷體"/>
              </w:rPr>
              <w:t>分段乘算下列</w:t>
            </w:r>
            <w:proofErr w:type="gramEnd"/>
            <w:r>
              <w:rPr>
                <w:rFonts w:ascii="標楷體" w:eastAsia="標楷體" w:hAnsi="標楷體"/>
              </w:rPr>
              <w:t>比率後加總：</w:t>
            </w:r>
          </w:p>
          <w:p w:rsidR="000809CB" w:rsidRDefault="0035096C">
            <w:pPr>
              <w:pStyle w:val="Standard"/>
              <w:snapToGrid w:val="0"/>
              <w:spacing w:line="300" w:lineRule="exact"/>
              <w:ind w:left="572" w:hanging="5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業務費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萬元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以下者，得按業務費</w:t>
            </w:r>
            <w:r>
              <w:rPr>
                <w:rFonts w:ascii="標楷體" w:eastAsia="標楷體" w:hAnsi="標楷體"/>
              </w:rPr>
              <w:t>*10%</w:t>
            </w:r>
            <w:r>
              <w:rPr>
                <w:rFonts w:ascii="標楷體" w:eastAsia="標楷體" w:hAnsi="標楷體"/>
              </w:rPr>
              <w:t>以內編列。</w:t>
            </w:r>
          </w:p>
          <w:p w:rsidR="000809CB" w:rsidRDefault="0035096C">
            <w:pPr>
              <w:pStyle w:val="Standard"/>
              <w:snapToGrid w:val="0"/>
              <w:spacing w:line="300" w:lineRule="exact"/>
              <w:ind w:left="572" w:hanging="5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業務費超過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萬元以上部分，得按超過部分</w:t>
            </w:r>
            <w:r>
              <w:rPr>
                <w:rFonts w:ascii="標楷體" w:eastAsia="標楷體" w:hAnsi="標楷體"/>
              </w:rPr>
              <w:t>*5%</w:t>
            </w:r>
            <w:r>
              <w:rPr>
                <w:rFonts w:ascii="標楷體" w:eastAsia="標楷體" w:hAnsi="標楷體"/>
              </w:rPr>
              <w:t>以內編列。</w:t>
            </w:r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行政管理費上限為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萬元，但因特殊需要</w:t>
            </w:r>
            <w:proofErr w:type="gramStart"/>
            <w:r>
              <w:rPr>
                <w:rFonts w:ascii="標楷體" w:eastAsia="標楷體" w:hAnsi="標楷體"/>
              </w:rPr>
              <w:t>經本署同意</w:t>
            </w:r>
            <w:proofErr w:type="gramEnd"/>
            <w:r>
              <w:rPr>
                <w:rFonts w:ascii="標楷體" w:eastAsia="標楷體" w:hAnsi="標楷體"/>
              </w:rPr>
              <w:t>者，不在此限。</w:t>
            </w:r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1" w:name="OLE_LINK1"/>
            <w:r>
              <w:rPr>
                <w:rFonts w:ascii="標楷體" w:eastAsia="標楷體" w:hAnsi="標楷體" w:cs="新細明體"/>
                <w:kern w:val="0"/>
                <w:szCs w:val="24"/>
              </w:rPr>
              <w:t>經費執行涉及須依「政府機關政策文宣規劃執行注意事項」及預算法第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條之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及其執行原則等相關規定辦理者，應明確標示其為「廣告」，且揭示教育部國民及學前教育署名稱，並不得以置入性行銷方式進行。</w:t>
            </w:r>
            <w:bookmarkEnd w:id="1"/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</w:pPr>
            <w:r>
              <w:rPr>
                <w:rFonts w:ascii="標楷體" w:eastAsia="標楷體" w:hAnsi="標楷體"/>
              </w:rPr>
              <w:t>經費動支</w:t>
            </w:r>
            <w:r>
              <w:rPr>
                <w:rFonts w:ascii="標楷體" w:eastAsia="標楷體" w:hAnsi="標楷體"/>
                <w:color w:val="000000"/>
              </w:rPr>
              <w:t>應依中央政府各項經費支用規定及本要點經費編列基準表規定辦理。</w:t>
            </w:r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於「行政院主計總處網站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友善經費報支專區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內審規定」查詢參考。</w:t>
            </w:r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</w:pPr>
            <w:r>
              <w:rPr>
                <w:rFonts w:ascii="標楷體" w:eastAsia="標楷體" w:hAnsi="標楷體"/>
              </w:rPr>
              <w:t>本經費表</w:t>
            </w:r>
            <w:proofErr w:type="gramStart"/>
            <w:r>
              <w:rPr>
                <w:rFonts w:ascii="標楷體" w:eastAsia="標楷體" w:hAnsi="標楷體"/>
              </w:rPr>
              <w:t>新增或勻支</w:t>
            </w:r>
            <w:proofErr w:type="gramEnd"/>
            <w:r>
              <w:rPr>
                <w:rFonts w:ascii="標楷體" w:eastAsia="標楷體" w:hAnsi="標楷體"/>
              </w:rPr>
              <w:t>二級用途別經費項目，</w:t>
            </w:r>
            <w:r>
              <w:rPr>
                <w:rFonts w:ascii="標楷體" w:eastAsia="標楷體" w:hAnsi="標楷體"/>
                <w:color w:val="000000"/>
              </w:rPr>
              <w:t>得由執行單位循內部行政程序自行辦理。</w:t>
            </w:r>
          </w:p>
          <w:p w:rsidR="000809CB" w:rsidRDefault="0035096C">
            <w:pPr>
              <w:pStyle w:val="Standard"/>
              <w:numPr>
                <w:ilvl w:val="0"/>
                <w:numId w:val="4"/>
              </w:numPr>
              <w:spacing w:line="240" w:lineRule="exact"/>
            </w:pPr>
            <w:r>
              <w:rPr>
                <w:rFonts w:ascii="標楷體" w:eastAsia="標楷體" w:hAnsi="標楷體"/>
              </w:rPr>
              <w:t>依政府採購法辦理者，其預算</w:t>
            </w:r>
            <w:proofErr w:type="gramStart"/>
            <w:r>
              <w:rPr>
                <w:rFonts w:ascii="標楷體" w:eastAsia="標楷體" w:hAnsi="標楷體"/>
              </w:rPr>
              <w:t>經費表得參照</w:t>
            </w:r>
            <w:proofErr w:type="gramEnd"/>
            <w:r>
              <w:rPr>
                <w:rFonts w:ascii="標楷體" w:eastAsia="標楷體" w:hAnsi="標楷體"/>
              </w:rPr>
              <w:t>本表辦理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0809CB" w:rsidRDefault="000809CB">
            <w:pPr>
              <w:pStyle w:val="a8"/>
              <w:spacing w:line="240" w:lineRule="exact"/>
              <w:ind w:left="-2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9CB" w:rsidRDefault="0035096C">
            <w:pPr>
              <w:pStyle w:val="a8"/>
              <w:spacing w:line="30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餘款繳回方式：</w:t>
            </w:r>
          </w:p>
          <w:p w:rsidR="000809CB" w:rsidRDefault="0035096C">
            <w:pPr>
              <w:pStyle w:val="a8"/>
              <w:spacing w:line="300" w:lineRule="exact"/>
              <w:ind w:left="0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繳回</w:t>
            </w:r>
          </w:p>
          <w:p w:rsidR="000809CB" w:rsidRDefault="0035096C">
            <w:pPr>
              <w:pStyle w:val="a8"/>
              <w:spacing w:line="300" w:lineRule="exact"/>
              <w:ind w:left="0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不繳回</w:t>
            </w:r>
          </w:p>
          <w:p w:rsidR="000809CB" w:rsidRDefault="0035096C">
            <w:pPr>
              <w:pStyle w:val="a8"/>
              <w:spacing w:line="300" w:lineRule="exact"/>
              <w:ind w:left="543" w:hanging="25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作業要點辦理，未執行項目經費（含人事費未依學歷職級或期程聘用人員致剩餘款）應繳回。</w:t>
            </w:r>
          </w:p>
          <w:p w:rsidR="000809CB" w:rsidRDefault="0035096C">
            <w:pPr>
              <w:pStyle w:val="a8"/>
              <w:spacing w:line="300" w:lineRule="exact"/>
              <w:ind w:left="543" w:hanging="25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/>
              </w:rPr>
              <w:t>，計畫餘款應繳回。</w:t>
            </w:r>
          </w:p>
          <w:p w:rsidR="000809CB" w:rsidRDefault="0035096C">
            <w:pPr>
              <w:pStyle w:val="a8"/>
              <w:spacing w:line="300" w:lineRule="exact"/>
              <w:ind w:left="543" w:hanging="25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如編列</w:t>
            </w:r>
            <w:r>
              <w:rPr>
                <w:rFonts w:ascii="標楷體" w:eastAsia="標楷體" w:hAnsi="標楷體"/>
                <w:u w:val="single"/>
              </w:rPr>
              <w:t>出席費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訪視費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諮詢費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輔導費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講座鐘點費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審查費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國內旅費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>工作費</w:t>
            </w:r>
            <w:r>
              <w:rPr>
                <w:rFonts w:ascii="標楷體" w:eastAsia="標楷體" w:hAnsi="標楷體"/>
              </w:rPr>
              <w:t>等經費項目不得支用其他項目，且該項目餘款應繳回。</w:t>
            </w:r>
          </w:p>
        </w:tc>
      </w:tr>
    </w:tbl>
    <w:p w:rsidR="000809CB" w:rsidRDefault="000809CB">
      <w:pPr>
        <w:pStyle w:val="Standard"/>
        <w:ind w:left="-360"/>
      </w:pPr>
    </w:p>
    <w:sectPr w:rsidR="000809CB">
      <w:pgSz w:w="11906" w:h="16838"/>
      <w:pgMar w:top="851" w:right="964" w:bottom="71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6C" w:rsidRDefault="0035096C">
      <w:r>
        <w:separator/>
      </w:r>
    </w:p>
  </w:endnote>
  <w:endnote w:type="continuationSeparator" w:id="0">
    <w:p w:rsidR="0035096C" w:rsidRDefault="003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6C" w:rsidRDefault="0035096C">
      <w:r>
        <w:rPr>
          <w:color w:val="000000"/>
        </w:rPr>
        <w:separator/>
      </w:r>
    </w:p>
  </w:footnote>
  <w:footnote w:type="continuationSeparator" w:id="0">
    <w:p w:rsidR="0035096C" w:rsidRDefault="0035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9E2"/>
    <w:multiLevelType w:val="multilevel"/>
    <w:tmpl w:val="9698CAA4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1259C"/>
    <w:multiLevelType w:val="multilevel"/>
    <w:tmpl w:val="39FE46D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B205F0"/>
    <w:multiLevelType w:val="multilevel"/>
    <w:tmpl w:val="E1A0540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D423EF8"/>
    <w:multiLevelType w:val="multilevel"/>
    <w:tmpl w:val="EC88BB26"/>
    <w:styleLink w:val="WWNum2"/>
    <w:lvl w:ilvl="0">
      <w:numFmt w:val="bullet"/>
      <w:lvlText w:val="□"/>
      <w:lvlJc w:val="left"/>
      <w:pPr>
        <w:ind w:left="360" w:hanging="360"/>
      </w:pPr>
      <w:rPr>
        <w:rFonts w:eastAsia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9CB"/>
    <w:rsid w:val="000809CB"/>
    <w:rsid w:val="0035096C"/>
    <w:rsid w:val="008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84ABA-F95D-485B-82E4-FD82CD1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首 字元"/>
    <w:rPr>
      <w:rFonts w:cs="Times New Roman"/>
      <w:kern w:val="3"/>
    </w:rPr>
  </w:style>
  <w:style w:type="character" w:customStyle="1" w:styleId="aa">
    <w:name w:val="頁尾 字元"/>
    <w:rPr>
      <w:rFonts w:cs="Times New Roman"/>
      <w:kern w:val="3"/>
    </w:rPr>
  </w:style>
  <w:style w:type="character" w:styleId="ab">
    <w:name w:val="page number"/>
    <w:rPr>
      <w:rFonts w:cs="Times New Roman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ascii="標楷體" w:eastAsia="標楷體" w:hAnsi="標楷體" w:cs="標楷體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蔡翔安</cp:lastModifiedBy>
  <cp:revision>2</cp:revision>
  <cp:lastPrinted>2018-12-26T06:51:00Z</cp:lastPrinted>
  <dcterms:created xsi:type="dcterms:W3CDTF">2020-04-28T02:12:00Z</dcterms:created>
  <dcterms:modified xsi:type="dcterms:W3CDTF">2020-04-28T02:12:00Z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